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640" w:firstLineChars="200"/>
        <w:jc w:val="center"/>
        <w:rPr>
          <w:rFonts w:ascii="Times New Roman" w:hAnsi="Times New Roman" w:cs="Times New Roman"/>
          <w:sz w:val="32"/>
          <w:szCs w:val="32"/>
        </w:rPr>
      </w:pPr>
    </w:p>
    <w:p>
      <w:pPr>
        <w:pStyle w:val="10"/>
        <w:jc w:val="center"/>
        <w:rPr>
          <w:rFonts w:ascii="Times New Roman" w:hAnsi="Times New Roman" w:cs="Times New Roman"/>
          <w:sz w:val="32"/>
          <w:szCs w:val="32"/>
        </w:rPr>
      </w:pPr>
    </w:p>
    <w:p>
      <w:pPr>
        <w:pStyle w:val="10"/>
        <w:jc w:val="center"/>
        <w:rPr>
          <w:rFonts w:ascii="Times New Roman" w:hAnsi="Times New Roman" w:cs="Times New Roman"/>
          <w:sz w:val="44"/>
          <w:szCs w:val="44"/>
        </w:rPr>
      </w:pPr>
      <w:r>
        <w:rPr>
          <w:rFonts w:ascii="Times New Roman" w:hAnsi="Times New Roman" w:cs="Times New Roman"/>
          <w:sz w:val="44"/>
          <w:szCs w:val="44"/>
        </w:rPr>
        <w:t>中华人民共和国海关</w:t>
      </w:r>
    </w:p>
    <w:p>
      <w:pPr>
        <w:pStyle w:val="10"/>
        <w:jc w:val="center"/>
        <w:rPr>
          <w:rFonts w:ascii="Times New Roman" w:hAnsi="Times New Roman" w:cs="Times New Roman"/>
          <w:sz w:val="32"/>
          <w:szCs w:val="32"/>
        </w:rPr>
      </w:pPr>
      <w:r>
        <w:rPr>
          <w:rFonts w:ascii="Times New Roman" w:hAnsi="Times New Roman" w:cs="Times New Roman"/>
          <w:sz w:val="44"/>
          <w:szCs w:val="44"/>
        </w:rPr>
        <w:t>对出口加工区监管的暂行办法</w:t>
      </w:r>
    </w:p>
    <w:p>
      <w:pPr>
        <w:pStyle w:val="10"/>
        <w:jc w:val="center"/>
        <w:rPr>
          <w:rFonts w:ascii="Times New Roman" w:hAnsi="Times New Roman" w:cs="Times New Roman"/>
          <w:sz w:val="32"/>
          <w:szCs w:val="32"/>
        </w:rPr>
      </w:pPr>
    </w:p>
    <w:p>
      <w:pPr>
        <w:pStyle w:val="10"/>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(2000年4月27日国务院批准　2000年5月24日海关总署令第81号公布　2002年6月21日国务院批准第一次修订　根据2003年9月2日《国务院关于修改〈中华人民共和国海关对出口加工区监管的暂行办法〉的决定》第二次修订　根据2011年1月8日《国务院关于废止和修改部分行政法规的决定》第三次修订)</w:t>
      </w:r>
    </w:p>
    <w:p>
      <w:pPr>
        <w:pStyle w:val="3"/>
        <w:rPr>
          <w:sz w:val="32"/>
          <w:szCs w:val="32"/>
        </w:rPr>
      </w:pPr>
      <w:r>
        <w:rPr>
          <w:rFonts w:ascii="Times New Roman" w:hAnsi="Times New Roman" w:cs="Times New Roman"/>
          <w:sz w:val="32"/>
          <w:szCs w:val="32"/>
        </w:rPr>
        <w:t>第一章　总则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w:t>
      </w:r>
      <w:r>
        <w:rPr>
          <w:rFonts w:ascii="Times New Roman" w:hAnsi="Times New Roman" w:eastAsia="仿宋_GB2312" w:cs="Times New Roman"/>
          <w:sz w:val="32"/>
          <w:szCs w:val="32"/>
        </w:rPr>
        <w:t>　为加强与完善加工贸易管理，规范海关对出口加工区的监管，促进出口加工区的健康发展，鼓励扩大外贸出口，根据《中华人民共和国海关法》和国家有关法律、法规，制定本办法。</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w:t>
      </w:r>
      <w:r>
        <w:rPr>
          <w:rFonts w:ascii="Times New Roman" w:hAnsi="Times New Roman" w:eastAsia="仿宋_GB2312" w:cs="Times New Roman"/>
          <w:sz w:val="32"/>
          <w:szCs w:val="32"/>
        </w:rPr>
        <w:t>　为防止重复建设，在中华人民共和国境内设立出口加工区(以下简称加工区)，只能设在已经国务院批准的现有经济技术开发区内，并由省(自治区、直辖市)人民政府报国务院批准。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w:t>
      </w:r>
      <w:r>
        <w:rPr>
          <w:rFonts w:ascii="Times New Roman" w:hAnsi="Times New Roman" w:eastAsia="仿宋_GB2312" w:cs="Times New Roman"/>
          <w:sz w:val="32"/>
          <w:szCs w:val="32"/>
        </w:rPr>
        <w:t>　加工区是海关监管的特定区域。海关在加工区内设立机构，并依照本办法，对进、出加工区的货物及区内相关场所实行24小时监管。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w:t>
      </w:r>
      <w:r>
        <w:rPr>
          <w:rFonts w:ascii="Times New Roman" w:hAnsi="Times New Roman" w:eastAsia="仿宋_GB2312" w:cs="Times New Roman"/>
          <w:sz w:val="32"/>
          <w:szCs w:val="32"/>
        </w:rPr>
        <w:t>　加工区与中华人民共和国境内的其他地区(以下简称区外)之间，须设置符合海关监管要求的隔离设施及闭路电视监控系统。经海关总署对加工区的隔离设施验收合格后，方可开展加工区有关业务。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w:t>
      </w:r>
      <w:r>
        <w:rPr>
          <w:rFonts w:ascii="Times New Roman" w:hAnsi="Times New Roman" w:eastAsia="仿宋_GB2312" w:cs="Times New Roman"/>
          <w:sz w:val="32"/>
          <w:szCs w:val="32"/>
        </w:rPr>
        <w:t>　区内设置加工区管理委员会和出口加工企业、专为出口加工企业生产提供服务的仓储企业以及经海关核准专门从事加工区内货物进、出的运输企业。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除安全保卫人员和企业值班人员外，其他人员不得在加工区内居住。不得建立营业性的生活消费设施。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w:t>
      </w:r>
      <w:r>
        <w:rPr>
          <w:rFonts w:ascii="Times New Roman" w:hAnsi="Times New Roman" w:eastAsia="仿宋_GB2312" w:cs="Times New Roman"/>
          <w:sz w:val="32"/>
          <w:szCs w:val="32"/>
        </w:rPr>
        <w:t>　区内不得经营商业零售、一般贸易、转口贸易及其他与加工区无关的业务。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w:t>
      </w:r>
      <w:r>
        <w:rPr>
          <w:rFonts w:ascii="Times New Roman" w:hAnsi="Times New Roman" w:eastAsia="仿宋_GB2312" w:cs="Times New Roman"/>
          <w:sz w:val="32"/>
          <w:szCs w:val="32"/>
        </w:rPr>
        <w:t>　在加工区内设立的企业(以下简称区内企业)，应向海关办理注册手续。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w:t>
      </w:r>
      <w:r>
        <w:rPr>
          <w:rFonts w:ascii="Times New Roman" w:hAnsi="Times New Roman" w:eastAsia="仿宋_GB2312" w:cs="Times New Roman"/>
          <w:sz w:val="32"/>
          <w:szCs w:val="32"/>
        </w:rPr>
        <w:t>　区内企业应当依据《中华人民共和国会计法》及国家有关法律、法规的规定，设置符合海关监管要求的账簿、报表。凭合法、有效凭证记账并进行核算，记录本企业有关进、出加工区货物和物品的库存、转让、转移、销售、加工、使用和损耗等情况。</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w:t>
      </w:r>
      <w:r>
        <w:rPr>
          <w:rFonts w:ascii="Times New Roman" w:hAnsi="Times New Roman" w:eastAsia="仿宋_GB2312" w:cs="Times New Roman"/>
          <w:sz w:val="32"/>
          <w:szCs w:val="32"/>
        </w:rPr>
        <w:t>　加工区实行计算机联网管理和海关稽查制度。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区内企业应建立符合海关监管要求的电子计算机管理数据库，并与海关实行电子计算机联网，进行电子数据交换。</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w:t>
      </w:r>
      <w:r>
        <w:rPr>
          <w:rFonts w:ascii="Times New Roman" w:hAnsi="Times New Roman" w:eastAsia="仿宋_GB2312" w:cs="Times New Roman"/>
          <w:sz w:val="32"/>
          <w:szCs w:val="32"/>
        </w:rPr>
        <w:t>　区内企业开展加工贸易业务不实行加工贸易银行保证金台账制度，海关不实行《加工贸易登记手册》管理。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w:t>
      </w:r>
      <w:r>
        <w:rPr>
          <w:rFonts w:ascii="Times New Roman" w:hAnsi="Times New Roman" w:eastAsia="仿宋_GB2312" w:cs="Times New Roman"/>
          <w:sz w:val="32"/>
          <w:szCs w:val="32"/>
        </w:rPr>
        <w:t>　海关对进、出加工区的货物、物品、运输工具、人员及区内有关场所，有权依照《中华人民共和国海关法》的规定进行检查、查验。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w:t>
      </w:r>
      <w:r>
        <w:rPr>
          <w:rFonts w:ascii="Times New Roman" w:hAnsi="Times New Roman" w:eastAsia="仿宋_GB2312" w:cs="Times New Roman"/>
          <w:sz w:val="32"/>
          <w:szCs w:val="32"/>
        </w:rPr>
        <w:t>　国家对区内加工产品不征收增值税。</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w:t>
      </w:r>
      <w:r>
        <w:rPr>
          <w:rFonts w:ascii="Times New Roman" w:hAnsi="Times New Roman" w:eastAsia="仿宋_GB2312" w:cs="Times New Roman"/>
          <w:sz w:val="32"/>
          <w:szCs w:val="32"/>
        </w:rPr>
        <w:t>　国家禁止进、出口的货物、物品，不得进、出加工区。</w:t>
      </w:r>
    </w:p>
    <w:p>
      <w:pPr>
        <w:pStyle w:val="3"/>
        <w:bidi w:val="0"/>
        <w:rPr>
          <w:rFonts w:ascii="Times New Roman" w:hAnsi="Times New Roman" w:eastAsia="仿宋_GB2312" w:cs="Times New Roman"/>
          <w:szCs w:val="32"/>
        </w:rPr>
      </w:pPr>
      <w:r>
        <w:t>第二章　对加工区与境外之间进出货物的监管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w:t>
      </w:r>
      <w:r>
        <w:rPr>
          <w:rFonts w:ascii="Times New Roman" w:hAnsi="Times New Roman" w:eastAsia="仿宋_GB2312" w:cs="Times New Roman"/>
          <w:sz w:val="32"/>
          <w:szCs w:val="32"/>
        </w:rPr>
        <w:t>　加工区与境外之间进、出的货物，由货主或其代理人根据加工区管理委员会的批件，填写进、出境货物备案清单，向主管海关备案。备案清单由海关总署统一制发。</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w:t>
      </w:r>
      <w:r>
        <w:rPr>
          <w:rFonts w:ascii="Times New Roman" w:hAnsi="Times New Roman" w:eastAsia="仿宋_GB2312" w:cs="Times New Roman"/>
          <w:sz w:val="32"/>
          <w:szCs w:val="32"/>
        </w:rPr>
        <w:t>　海关对加工区与境外之间进、出的货物，按照直通式或转关运输的办法进行监管。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w:t>
      </w:r>
      <w:r>
        <w:rPr>
          <w:rFonts w:ascii="Times New Roman" w:hAnsi="Times New Roman" w:eastAsia="仿宋_GB2312" w:cs="Times New Roman"/>
          <w:sz w:val="32"/>
          <w:szCs w:val="32"/>
        </w:rPr>
        <w:t>　加工区与境外之间进、出的货物，除实行出口被动配额管理的外，不实行进出口配额、许可证件管理。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w:t>
      </w:r>
      <w:r>
        <w:rPr>
          <w:rFonts w:ascii="Times New Roman" w:hAnsi="Times New Roman" w:eastAsia="仿宋_GB2312" w:cs="Times New Roman"/>
          <w:sz w:val="32"/>
          <w:szCs w:val="32"/>
        </w:rPr>
        <w:t>　从境外进入加工区的货物，其进口关税和进口环节税，除法律、法规另有规定外，按照下列规定办理：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(一)区内生产性的基础设施建设项目所需的机器、设备和建设生产厂房、仓储设施所需的基建物资，予以免税；</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(二)区内企业生产所需的机器、设备、模具及其维修用零配件，予以免税；</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(三)区内企业为加工出口产品所需的原材料、零部件、元器件、包装物料及消耗性材料，予以保税；</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(四)区内企业和行政管理机构自用合理数量的办公用品，予以免税；</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(五)区内企业和行政管理机构自用的交通运输工具、生活消费用品，按进口货物的有关规定办理报关手续，海关予以照章征税。</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w:t>
      </w:r>
      <w:r>
        <w:rPr>
          <w:rFonts w:ascii="Times New Roman" w:hAnsi="Times New Roman" w:eastAsia="仿宋_GB2312" w:cs="Times New Roman"/>
          <w:sz w:val="32"/>
          <w:szCs w:val="32"/>
        </w:rPr>
        <w:t>　除法律、法规另有规定外，区内企业加工的制成品及其在加工生产过程中产生的边角料、余料、残次品、废品等销往境外的，免征出口关税。</w:t>
      </w:r>
    </w:p>
    <w:p>
      <w:pPr>
        <w:pStyle w:val="3"/>
        <w:bidi w:val="0"/>
      </w:pPr>
      <w:r>
        <w:t>第三章　对加工区与区外之间进出货物的监管　　</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w:t>
      </w:r>
      <w:r>
        <w:rPr>
          <w:rFonts w:ascii="Times New Roman" w:hAnsi="Times New Roman" w:eastAsia="仿宋_GB2312" w:cs="Times New Roman"/>
          <w:sz w:val="32"/>
          <w:szCs w:val="32"/>
        </w:rPr>
        <w:t>　对加工区运往区外的货物，海关按照对进口货物的有关规定办理报关手续，并按照制成品征税。如属许可证件管理商品，还应向海关出具有效的进口许可证件。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w:t>
      </w:r>
      <w:r>
        <w:rPr>
          <w:rFonts w:ascii="Times New Roman" w:hAnsi="Times New Roman" w:eastAsia="仿宋_GB2312" w:cs="Times New Roman"/>
          <w:sz w:val="32"/>
          <w:szCs w:val="32"/>
        </w:rPr>
        <w:t>　区内企业的加工产品和在加工生产过程中产生的边角料、残次品、废品等应复运出境。因特殊情况需要运往区外时，由企业申请，经主管海关核准后，按内销时的状态确定归类并征税。如属进口许可证件管理商品，免领进口许可证件。如属《限制进口类可用作原料的废物目录》所列商品，应按现行规定向环保部门申领进口许可证件。对无商业价值的边角料和废品，需运往区外销毁的，应凭加工区管理委员会和环保部门的批件，向主管海关办理出区手续，海关予以免进口许可证件、免税。</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w:t>
      </w:r>
      <w:r>
        <w:rPr>
          <w:rFonts w:ascii="Times New Roman" w:hAnsi="Times New Roman" w:eastAsia="仿宋_GB2312" w:cs="Times New Roman"/>
          <w:sz w:val="32"/>
          <w:szCs w:val="32"/>
        </w:rPr>
        <w:t>　区内企业在确有需要时，可将有关模具、半成品等运往区外进行加工。经加工区主管海关关长批准，由接受委托的区外企业向加工区主管海关缴纳货物应征关税和进口环节增值税等值保证金或保函后办理出区手续。</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委托区外企业加工的期限由加工区主管海关参照合同期限核定。货物加工完毕后应按期运回区内。区内企业凭出区时填写的委托区外加工申请书及有关单证，向加工区主管海关办理验放核销手续。加工区主管海关在办理验放核销手续后，应及时退还保证金或保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w:t>
      </w:r>
      <w:r>
        <w:rPr>
          <w:rFonts w:ascii="Times New Roman" w:hAnsi="Times New Roman" w:eastAsia="仿宋_GB2312" w:cs="Times New Roman"/>
          <w:sz w:val="32"/>
          <w:szCs w:val="32"/>
        </w:rPr>
        <w:t>　区内企业销往区外的机器、设备、模具等，按照国家现行进口政策及有关规定办理。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w:t>
      </w:r>
      <w:r>
        <w:rPr>
          <w:rFonts w:ascii="Times New Roman" w:hAnsi="Times New Roman" w:eastAsia="仿宋_GB2312" w:cs="Times New Roman"/>
          <w:sz w:val="32"/>
          <w:szCs w:val="32"/>
        </w:rPr>
        <w:t>　区内企业经主管海关批准，可在区外进行产品的测试、检验和展示活动。测试、检验和展示的产品，应比照海关对暂时进口货物的管理规定办理出区手续。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w:t>
      </w:r>
      <w:r>
        <w:rPr>
          <w:rFonts w:ascii="Times New Roman" w:hAnsi="Times New Roman" w:eastAsia="仿宋_GB2312" w:cs="Times New Roman"/>
          <w:sz w:val="32"/>
          <w:szCs w:val="32"/>
        </w:rPr>
        <w:t>　区内使用的机器、设备、模具和办公用品等，须运往区外进行维修、测试或检验时，区内企业或管理机构应填写《出口加工区货物运往区外维修查验联系单》，向主管海关提出申请，并经主管海关核准、登记、查验后，方可将机器、设备、模具和办公用品等运往区外维修、测试或检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区内企业将模具运往区外维修、测试或检验时，应留存模具所生产产品的样品，以备海关对运回区内的模具进行核查。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运往区外维修、测试或检验的机器、设备、模具和办公用品等，不得用于区外加工生产和使用。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w:t>
      </w:r>
      <w:r>
        <w:rPr>
          <w:rFonts w:ascii="Times New Roman" w:hAnsi="Times New Roman" w:eastAsia="仿宋_GB2312" w:cs="Times New Roman"/>
          <w:sz w:val="32"/>
          <w:szCs w:val="32"/>
        </w:rPr>
        <w:t>　运往区外维修、测试或检验的机器、设备、模具和办公用品等，应自运出之日起2个月内运回加工区。因特殊情况不能如期运回的，区内企业应于期限届满前7天内，向主管海关说明情况，并申请延期。申请延期以1次为限，延长期限不得超过1个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w:t>
      </w:r>
      <w:r>
        <w:rPr>
          <w:rFonts w:ascii="Times New Roman" w:hAnsi="Times New Roman" w:eastAsia="仿宋_GB2312" w:cs="Times New Roman"/>
          <w:sz w:val="32"/>
          <w:szCs w:val="32"/>
        </w:rPr>
        <w:t>　运往区外维修的机器、设备、模具和办公用品等，运回区内时，要以海关能辨认其为原物或同一规格的新零件、配件或附件为限，但更换新零件、配件或附件的，原零件、配件或附件应一并运回区内。</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w:t>
      </w:r>
      <w:r>
        <w:rPr>
          <w:rFonts w:ascii="Times New Roman" w:hAnsi="Times New Roman" w:eastAsia="仿宋_GB2312" w:cs="Times New Roman"/>
          <w:sz w:val="32"/>
          <w:szCs w:val="32"/>
        </w:rPr>
        <w:t>　从区外进入加工区的货物视同出口，办理出口报关手续。其出口退税，除法律、法规另有规定外，按照以下规定办理：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从区外进入加工区供区内企业使用的国产机器、设备、原材料、零部件、元器件、包装物料以及建造基础设施、加工企业和行政管理部门生产、办公用房所需合理数量的基建物资等，海关按照对出口货物的有关规定办理报关手续，并签发出口退税报关单。区外企业凭报关单出口退税联向税务部门申请办理出口退(免)税手续，具体退(免)税管理办法由国家税务总局另行下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(二)从区外进入加工区供区内企业和行政管理机构使用的生活消费用品、交通运输工具等，海关不予签发出口退税报关单。</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从区外进入加工区的进口机器、设备、原材料、零部件、元器件、包装物料、基建物资等，区外企业应当向海关提供上述货物或物品的清单，并办理出口报关手续，经海关查验后放行。上述货物或物品，已经缴纳的进口环节税，不予退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因国内技术无法达到产品要求、须将国家禁止出口或统一经营商品运至加工区内进行某项工序加工的，应报经商务部批准，海关比照出料加工管理办法进行监管，其运入加工区的货物，不予签发出口退税报关单。</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w:t>
      </w:r>
      <w:r>
        <w:rPr>
          <w:rFonts w:ascii="Times New Roman" w:hAnsi="Times New Roman" w:eastAsia="仿宋_GB2312" w:cs="Times New Roman"/>
          <w:sz w:val="32"/>
          <w:szCs w:val="32"/>
        </w:rPr>
        <w:t>　从区外进入加工区的货物、物品，应运入加工区内海关指定仓库或地点，区外企业填写出口报关单，并持境内购货发票、装箱单，向加工区的主管海关办理报关手续。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w:t>
      </w:r>
      <w:r>
        <w:rPr>
          <w:rFonts w:ascii="Times New Roman" w:hAnsi="Times New Roman" w:eastAsia="仿宋_GB2312" w:cs="Times New Roman"/>
          <w:sz w:val="32"/>
          <w:szCs w:val="32"/>
        </w:rPr>
        <w:t>　从区外进入加工区的货物，须经区内企业进行实质性加工后，方可运出境外。</w:t>
      </w:r>
    </w:p>
    <w:p>
      <w:pPr>
        <w:pStyle w:val="3"/>
        <w:bidi w:val="0"/>
      </w:pPr>
      <w:r>
        <w:t>第四章　对加工区内货物的监管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w:t>
      </w:r>
      <w:r>
        <w:rPr>
          <w:rFonts w:ascii="Times New Roman" w:hAnsi="Times New Roman" w:eastAsia="仿宋_GB2312" w:cs="Times New Roman"/>
          <w:sz w:val="32"/>
          <w:szCs w:val="32"/>
        </w:rPr>
        <w:t>　区内企业进、出加工区的货物须向其主管海关如实申报，海关依据备案清单及有关单证，对区内企业进、出加工区的货物进行查验、放行和核销。</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海关对进、出加工区货物的备案、报关、查验、放行、核销手续应在区内办理。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w:t>
      </w:r>
      <w:r>
        <w:rPr>
          <w:rFonts w:ascii="Times New Roman" w:hAnsi="Times New Roman" w:eastAsia="仿宋_GB2312" w:cs="Times New Roman"/>
          <w:sz w:val="32"/>
          <w:szCs w:val="32"/>
        </w:rPr>
        <w:t>　加工区内的货物可在区内企业之间转让、转移，双方当事人须事先将转让、转移货物的具体品名、数量、金额等有关事项向海关备案。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w:t>
      </w:r>
      <w:r>
        <w:rPr>
          <w:rFonts w:ascii="Times New Roman" w:hAnsi="Times New Roman" w:eastAsia="仿宋_GB2312" w:cs="Times New Roman"/>
          <w:sz w:val="32"/>
          <w:szCs w:val="32"/>
        </w:rPr>
        <w:t>　区内加工企业，不得将未经实质性加工的进口原材料、零部件销往区外。区内从事仓储服务的企业，不得将仓储的原材料、零部件提供给区外企业。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w:t>
      </w:r>
      <w:r>
        <w:rPr>
          <w:rFonts w:ascii="Times New Roman" w:hAnsi="Times New Roman" w:eastAsia="仿宋_GB2312" w:cs="Times New Roman"/>
          <w:sz w:val="32"/>
          <w:szCs w:val="32"/>
        </w:rPr>
        <w:t>　区内企业自开展出口加工业务或仓储业务之日起，每半年持本企业账册和有关单据，向其主管海关办理一次核销手续。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w:t>
      </w:r>
      <w:r>
        <w:rPr>
          <w:rFonts w:ascii="Times New Roman" w:hAnsi="Times New Roman" w:eastAsia="仿宋_GB2312" w:cs="Times New Roman"/>
          <w:sz w:val="32"/>
          <w:szCs w:val="32"/>
        </w:rPr>
        <w:t>　进入加工区的货物，在加工、储存期间，因不可抗力造成短少、损毁的，区内加工企业或仓储企业应自发现之日起10日内报告主管海关，并说明理由。经海关核实确认后，准其在账册内减除。</w:t>
      </w:r>
    </w:p>
    <w:p>
      <w:pPr>
        <w:pStyle w:val="3"/>
        <w:bidi w:val="0"/>
        <w:rPr>
          <w:rFonts w:ascii="Times New Roman" w:hAnsi="Times New Roman" w:eastAsia="仿宋_GB2312" w:cs="Times New Roman"/>
          <w:szCs w:val="32"/>
        </w:rPr>
      </w:pPr>
      <w:r>
        <w:t>第五章　对加工区之间往来货物的监管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w:t>
      </w:r>
      <w:r>
        <w:rPr>
          <w:rFonts w:ascii="Times New Roman" w:hAnsi="Times New Roman" w:eastAsia="仿宋_GB2312" w:cs="Times New Roman"/>
          <w:sz w:val="32"/>
          <w:szCs w:val="32"/>
        </w:rPr>
        <w:t>　加工区之间货物的往来，应由收、发货物双方联名向转出区主管海关提出申请。经海关核准后，按照转关运输的有关规定办理。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w:t>
      </w:r>
      <w:r>
        <w:rPr>
          <w:rFonts w:ascii="Times New Roman" w:hAnsi="Times New Roman" w:eastAsia="仿宋_GB2312" w:cs="Times New Roman"/>
          <w:sz w:val="32"/>
          <w:szCs w:val="32"/>
        </w:rPr>
        <w:t>　货物转关至其他加工区时，转入区主管海关在核对封志完整及单货相符后，即予放行入厂或入库。</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w:t>
      </w:r>
      <w:r>
        <w:rPr>
          <w:rFonts w:ascii="Times New Roman" w:hAnsi="Times New Roman" w:eastAsia="仿宋_GB2312" w:cs="Times New Roman"/>
          <w:sz w:val="32"/>
          <w:szCs w:val="32"/>
        </w:rPr>
        <w:t>　加工区之间往来的货物不能按照转关运输办理的，转入区主管海关应向收货企业收取货物等值的担保金。货物运抵转入区并经海关核对无误后，主管海关应在10个工作日内，将担保金退还企业。</w:t>
      </w:r>
    </w:p>
    <w:p>
      <w:pPr>
        <w:pStyle w:val="3"/>
        <w:bidi w:val="0"/>
      </w:pPr>
      <w:r>
        <w:t>第六章　对进、出加工区运输工具和个人携带物品的监管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w:t>
      </w:r>
      <w:r>
        <w:rPr>
          <w:rFonts w:ascii="Times New Roman" w:hAnsi="Times New Roman" w:eastAsia="仿宋_GB2312" w:cs="Times New Roman"/>
          <w:sz w:val="32"/>
          <w:szCs w:val="32"/>
        </w:rPr>
        <w:t>　运输工具和人员应经海关指定的专用通道进、出加工区。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第三十九条</w:t>
      </w:r>
      <w:r>
        <w:rPr>
          <w:rFonts w:ascii="Times New Roman" w:hAnsi="Times New Roman" w:eastAsia="仿宋_GB2312" w:cs="Times New Roman"/>
          <w:sz w:val="32"/>
          <w:szCs w:val="32"/>
        </w:rPr>
        <w:t>　从加工区运往境外的加工产品及由加工区运往区外的货物，经海关查验放行后，应交由经海关核准、并由设立于区内的专营运输企业承运。下列货物经主管海关查验后，可由企业指派专人携带或自行运输：</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(一)价值1万美元及以下的小额物品；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(二)因品质不合格复运区外退换的物品；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(三)已办理进口纳税手续的物品；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w:t>
      </w:r>
      <w:bookmarkStart w:id="0" w:name="_GoBack"/>
      <w:bookmarkEnd w:id="0"/>
      <w:r>
        <w:rPr>
          <w:rFonts w:ascii="Times New Roman" w:hAnsi="Times New Roman" w:eastAsia="仿宋_GB2312" w:cs="Times New Roman"/>
          <w:sz w:val="32"/>
          <w:szCs w:val="32"/>
        </w:rPr>
        <w:t>其他经海关核准的物品。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第四十条</w:t>
      </w:r>
      <w:r>
        <w:rPr>
          <w:rFonts w:ascii="Times New Roman" w:hAnsi="Times New Roman" w:eastAsia="仿宋_GB2312" w:cs="Times New Roman"/>
          <w:sz w:val="32"/>
          <w:szCs w:val="32"/>
        </w:rPr>
        <w:t>　进、出加工区货物的运输工具的负责人，应持企业法人营业执照和运输工具的名称、数量、牌照号码及驾驶员姓名等清单，向海关办理登记备案手续。</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承运加工区货物进、出加工区或转关运输的所有运输企业的经营人，应遵守海关有关运输工具及其所载货物的管理规定，并承担相关的法律责任。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第四十一条</w:t>
      </w:r>
      <w:r>
        <w:rPr>
          <w:rFonts w:ascii="Times New Roman" w:hAnsi="Times New Roman" w:eastAsia="仿宋_GB2312" w:cs="Times New Roman"/>
          <w:sz w:val="32"/>
          <w:szCs w:val="32"/>
        </w:rPr>
        <w:t>　未经海关批准，从加工区到区外的运输工具和人员不得运输、携带加工区内货物出区。</w:t>
      </w:r>
    </w:p>
    <w:p>
      <w:pPr>
        <w:pStyle w:val="3"/>
        <w:bidi w:val="0"/>
      </w:pPr>
      <w:r>
        <w:t>第七章　附则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第四十二条</w:t>
      </w:r>
      <w:r>
        <w:rPr>
          <w:rFonts w:ascii="Times New Roman" w:hAnsi="Times New Roman" w:eastAsia="仿宋_GB2312" w:cs="Times New Roman"/>
          <w:sz w:val="32"/>
          <w:szCs w:val="32"/>
        </w:rPr>
        <w:t>　从境外运入加工区的货物和从加工区运出境外的货物列入进、出口统计。从区外运入加工区和从加工区运往区外的货物，实施单项统计。统计办法由海关总署另行制定。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第四十三条</w:t>
      </w:r>
      <w:r>
        <w:rPr>
          <w:rFonts w:ascii="Times New Roman" w:hAnsi="Times New Roman" w:eastAsia="仿宋_GB2312" w:cs="Times New Roman"/>
          <w:sz w:val="32"/>
          <w:szCs w:val="32"/>
        </w:rPr>
        <w:t>　违反本办法规定的，由海关依照《中华人民共和国海关法》及《中华人民共和国海关行政处罚实施条例》的有关规定进行处理。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eastAsia="zh-CN"/>
        </w:rPr>
      </w:pPr>
      <w:r>
        <w:rPr>
          <w:rFonts w:ascii="Times New Roman" w:hAnsi="Times New Roman" w:eastAsia="黑体" w:cs="Times New Roman"/>
          <w:sz w:val="32"/>
          <w:szCs w:val="32"/>
        </w:rPr>
        <w:t>第四十四条</w:t>
      </w:r>
      <w:r>
        <w:rPr>
          <w:rFonts w:ascii="Times New Roman" w:hAnsi="Times New Roman" w:eastAsia="仿宋_GB2312" w:cs="Times New Roman"/>
          <w:sz w:val="32"/>
          <w:szCs w:val="32"/>
        </w:rPr>
        <w:t>　本办法自2000年5月24日起施行。</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CF6706"/>
    <w:rsid w:val="026D2287"/>
    <w:rsid w:val="02B836F8"/>
    <w:rsid w:val="03356D16"/>
    <w:rsid w:val="03985ADA"/>
    <w:rsid w:val="058213F7"/>
    <w:rsid w:val="0788080A"/>
    <w:rsid w:val="07E71367"/>
    <w:rsid w:val="08FF0C17"/>
    <w:rsid w:val="0963250F"/>
    <w:rsid w:val="097F7BAD"/>
    <w:rsid w:val="09B60066"/>
    <w:rsid w:val="0A8C2526"/>
    <w:rsid w:val="0AEB2A0D"/>
    <w:rsid w:val="0B3D0578"/>
    <w:rsid w:val="0D3C4224"/>
    <w:rsid w:val="0D610029"/>
    <w:rsid w:val="0DFE10B9"/>
    <w:rsid w:val="10A47D69"/>
    <w:rsid w:val="134A1994"/>
    <w:rsid w:val="136642BB"/>
    <w:rsid w:val="142327B5"/>
    <w:rsid w:val="14484CDF"/>
    <w:rsid w:val="155E2CB3"/>
    <w:rsid w:val="18413C16"/>
    <w:rsid w:val="198A0A54"/>
    <w:rsid w:val="19DB6C33"/>
    <w:rsid w:val="1C9212F7"/>
    <w:rsid w:val="20D86240"/>
    <w:rsid w:val="21CE0F2E"/>
    <w:rsid w:val="22DD4281"/>
    <w:rsid w:val="253620CC"/>
    <w:rsid w:val="25F044FF"/>
    <w:rsid w:val="26CA1A3A"/>
    <w:rsid w:val="27680A3B"/>
    <w:rsid w:val="2834230D"/>
    <w:rsid w:val="28F8723D"/>
    <w:rsid w:val="2B01664D"/>
    <w:rsid w:val="2D644059"/>
    <w:rsid w:val="2DBE0D65"/>
    <w:rsid w:val="2E1B43B4"/>
    <w:rsid w:val="2ED32E01"/>
    <w:rsid w:val="2FF20DF5"/>
    <w:rsid w:val="318138A8"/>
    <w:rsid w:val="320E2B0A"/>
    <w:rsid w:val="32252208"/>
    <w:rsid w:val="3330356C"/>
    <w:rsid w:val="33CF5811"/>
    <w:rsid w:val="35095248"/>
    <w:rsid w:val="386D21AD"/>
    <w:rsid w:val="3A7915E5"/>
    <w:rsid w:val="3B1265AF"/>
    <w:rsid w:val="3BA0652C"/>
    <w:rsid w:val="3CA23060"/>
    <w:rsid w:val="3CDF39C7"/>
    <w:rsid w:val="3D762392"/>
    <w:rsid w:val="3DFC6899"/>
    <w:rsid w:val="3E3675FB"/>
    <w:rsid w:val="3F800236"/>
    <w:rsid w:val="3F8C783C"/>
    <w:rsid w:val="40DC5AC3"/>
    <w:rsid w:val="40F66CF8"/>
    <w:rsid w:val="40FE47B4"/>
    <w:rsid w:val="41B857FD"/>
    <w:rsid w:val="4361706F"/>
    <w:rsid w:val="43CA1521"/>
    <w:rsid w:val="444B0E8A"/>
    <w:rsid w:val="44855567"/>
    <w:rsid w:val="47A250A3"/>
    <w:rsid w:val="48502FA2"/>
    <w:rsid w:val="48AC4D69"/>
    <w:rsid w:val="494B3B16"/>
    <w:rsid w:val="49C224BB"/>
    <w:rsid w:val="4DC87E21"/>
    <w:rsid w:val="4EDF3D2B"/>
    <w:rsid w:val="4EED79F5"/>
    <w:rsid w:val="5080370D"/>
    <w:rsid w:val="523F45D1"/>
    <w:rsid w:val="52695AB4"/>
    <w:rsid w:val="529D4C7B"/>
    <w:rsid w:val="53BF5C69"/>
    <w:rsid w:val="53DA0A43"/>
    <w:rsid w:val="55B865F8"/>
    <w:rsid w:val="55D520AC"/>
    <w:rsid w:val="575D4E2E"/>
    <w:rsid w:val="58035B31"/>
    <w:rsid w:val="58F6185E"/>
    <w:rsid w:val="591257DC"/>
    <w:rsid w:val="5B353B99"/>
    <w:rsid w:val="5C223266"/>
    <w:rsid w:val="5DB22BFD"/>
    <w:rsid w:val="5DD739B2"/>
    <w:rsid w:val="5E900D37"/>
    <w:rsid w:val="5F5011B7"/>
    <w:rsid w:val="5F88093C"/>
    <w:rsid w:val="60492E1B"/>
    <w:rsid w:val="61152047"/>
    <w:rsid w:val="620467BA"/>
    <w:rsid w:val="622D2BEC"/>
    <w:rsid w:val="62F60DE0"/>
    <w:rsid w:val="63DD0DD3"/>
    <w:rsid w:val="641F5EE8"/>
    <w:rsid w:val="649C0E8F"/>
    <w:rsid w:val="65532802"/>
    <w:rsid w:val="65BF6566"/>
    <w:rsid w:val="665D25F4"/>
    <w:rsid w:val="674048E2"/>
    <w:rsid w:val="68715924"/>
    <w:rsid w:val="6A403C00"/>
    <w:rsid w:val="6B4C7D1B"/>
    <w:rsid w:val="6C267EB4"/>
    <w:rsid w:val="6D1363D3"/>
    <w:rsid w:val="6D614426"/>
    <w:rsid w:val="6DA577A5"/>
    <w:rsid w:val="6DB87D30"/>
    <w:rsid w:val="6E804287"/>
    <w:rsid w:val="6EB30283"/>
    <w:rsid w:val="712B5699"/>
    <w:rsid w:val="746D1278"/>
    <w:rsid w:val="762C29D0"/>
    <w:rsid w:val="76975133"/>
    <w:rsid w:val="769B60FD"/>
    <w:rsid w:val="76C10F77"/>
    <w:rsid w:val="77D8678E"/>
    <w:rsid w:val="7814798C"/>
    <w:rsid w:val="7819740D"/>
    <w:rsid w:val="78ED2B64"/>
    <w:rsid w:val="7A224A32"/>
    <w:rsid w:val="7A4B0114"/>
    <w:rsid w:val="7A6D55E9"/>
    <w:rsid w:val="7ABD49CD"/>
    <w:rsid w:val="7B6A71F7"/>
    <w:rsid w:val="7C0E15E2"/>
    <w:rsid w:val="7C28250F"/>
    <w:rsid w:val="7CFB06AD"/>
    <w:rsid w:val="7D0E2676"/>
    <w:rsid w:val="7E600C51"/>
    <w:rsid w:val="7E8622B0"/>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黑体" w:asciiTheme="minorAscii" w:hAnsiTheme="minorAscii"/>
      <w:bCs/>
      <w:kern w:val="44"/>
      <w:sz w:val="32"/>
      <w:szCs w:val="44"/>
    </w:rPr>
  </w:style>
  <w:style w:type="character" w:customStyle="1" w:styleId="20">
    <w:name w:val="标题 2 Char"/>
    <w:basedOn w:val="15"/>
    <w:link w:val="3"/>
    <w:semiHidden/>
    <w:qFormat/>
    <w:uiPriority w:val="9"/>
    <w:rPr>
      <w:rFonts w:eastAsia="方正黑体_GBK" w:asciiTheme="majorAscii" w:hAnsiTheme="majorAscii" w:cstheme="majorBidi"/>
      <w:bCs/>
      <w:sz w:val="32"/>
      <w:szCs w:val="32"/>
    </w:rPr>
  </w:style>
  <w:style w:type="character" w:customStyle="1" w:styleId="21">
    <w:name w:val="标题 3 Char"/>
    <w:basedOn w:val="15"/>
    <w:link w:val="4"/>
    <w:semiHidden/>
    <w:qFormat/>
    <w:uiPriority w:val="9"/>
    <w:rPr>
      <w:rFonts w:eastAsia="方正楷体_GBK" w:asciiTheme="minorAscii" w:hAnsiTheme="minorAscii"/>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1</TotalTime>
  <ScaleCrop>false</ScaleCrop>
  <LinksUpToDate>false</LinksUpToDate>
  <CharactersWithSpaces>1790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2019-06-03T13:30:10Z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